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5FEEC">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0B25592E">
      <w:pPr>
        <w:spacing w:line="540" w:lineRule="exact"/>
        <w:jc w:val="center"/>
        <w:rPr>
          <w:rFonts w:ascii="方正小标宋_GBK" w:hAnsi="华文中宋" w:eastAsia="方正小标宋_GBK" w:cs="宋体"/>
          <w:b/>
          <w:kern w:val="0"/>
          <w:sz w:val="48"/>
          <w:szCs w:val="48"/>
        </w:rPr>
      </w:pPr>
    </w:p>
    <w:p w14:paraId="3C361F8C">
      <w:pPr>
        <w:spacing w:line="540" w:lineRule="exact"/>
        <w:jc w:val="center"/>
        <w:rPr>
          <w:rFonts w:ascii="方正小标宋_GBK" w:hAnsi="华文中宋" w:eastAsia="方正小标宋_GBK" w:cs="宋体"/>
          <w:b/>
          <w:kern w:val="0"/>
          <w:sz w:val="48"/>
          <w:szCs w:val="48"/>
        </w:rPr>
      </w:pPr>
    </w:p>
    <w:p w14:paraId="5C353A9C">
      <w:pPr>
        <w:spacing w:line="540" w:lineRule="exact"/>
        <w:jc w:val="center"/>
        <w:rPr>
          <w:rFonts w:ascii="方正小标宋_GBK" w:hAnsi="华文中宋" w:eastAsia="方正小标宋_GBK" w:cs="宋体"/>
          <w:b/>
          <w:kern w:val="0"/>
          <w:sz w:val="48"/>
          <w:szCs w:val="48"/>
        </w:rPr>
      </w:pPr>
    </w:p>
    <w:p w14:paraId="1856946F">
      <w:pPr>
        <w:spacing w:line="540" w:lineRule="exact"/>
        <w:jc w:val="center"/>
        <w:rPr>
          <w:rFonts w:ascii="方正小标宋_GBK" w:hAnsi="华文中宋" w:eastAsia="方正小标宋_GBK" w:cs="宋体"/>
          <w:b/>
          <w:kern w:val="0"/>
          <w:sz w:val="48"/>
          <w:szCs w:val="48"/>
        </w:rPr>
      </w:pPr>
    </w:p>
    <w:p w14:paraId="043C3634">
      <w:pPr>
        <w:spacing w:line="540" w:lineRule="exact"/>
        <w:jc w:val="center"/>
        <w:rPr>
          <w:rFonts w:ascii="方正小标宋_GBK" w:hAnsi="华文中宋" w:eastAsia="方正小标宋_GBK" w:cs="宋体"/>
          <w:b/>
          <w:kern w:val="0"/>
          <w:sz w:val="48"/>
          <w:szCs w:val="48"/>
        </w:rPr>
      </w:pPr>
    </w:p>
    <w:p w14:paraId="10D39D6A">
      <w:pPr>
        <w:spacing w:line="540" w:lineRule="exact"/>
        <w:jc w:val="center"/>
        <w:rPr>
          <w:rFonts w:ascii="方正小标宋_GBK" w:hAnsi="华文中宋" w:eastAsia="方正小标宋_GBK" w:cs="宋体"/>
          <w:b/>
          <w:kern w:val="0"/>
          <w:sz w:val="48"/>
          <w:szCs w:val="48"/>
        </w:rPr>
      </w:pPr>
    </w:p>
    <w:p w14:paraId="51A5243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195D91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94A1B12">
      <w:pPr>
        <w:spacing w:line="540" w:lineRule="exact"/>
        <w:jc w:val="center"/>
        <w:rPr>
          <w:rFonts w:ascii="华文中宋" w:hAnsi="华文中宋" w:eastAsia="华文中宋" w:cs="宋体"/>
          <w:b/>
          <w:kern w:val="0"/>
          <w:sz w:val="52"/>
          <w:szCs w:val="52"/>
        </w:rPr>
      </w:pPr>
    </w:p>
    <w:p w14:paraId="6CBB9E26">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4C473791">
      <w:pPr>
        <w:spacing w:line="700" w:lineRule="exact"/>
        <w:jc w:val="left"/>
        <w:rPr>
          <w:rFonts w:hint="eastAsia" w:hAnsi="宋体" w:eastAsia="仿宋_GB2312" w:cs="宋体"/>
          <w:kern w:val="0"/>
          <w:sz w:val="36"/>
          <w:szCs w:val="36"/>
        </w:rPr>
      </w:pPr>
    </w:p>
    <w:p w14:paraId="2F3E4842">
      <w:pPr>
        <w:spacing w:line="700" w:lineRule="exact"/>
        <w:jc w:val="left"/>
        <w:rPr>
          <w:rFonts w:hint="eastAsia" w:hAnsi="宋体" w:eastAsia="仿宋_GB2312" w:cs="宋体"/>
          <w:kern w:val="0"/>
          <w:sz w:val="36"/>
          <w:szCs w:val="36"/>
        </w:rPr>
      </w:pPr>
    </w:p>
    <w:p w14:paraId="6C3F4E32">
      <w:pPr>
        <w:spacing w:line="700" w:lineRule="exact"/>
        <w:jc w:val="left"/>
        <w:rPr>
          <w:rFonts w:hint="eastAsia" w:hAnsi="宋体" w:eastAsia="仿宋_GB2312" w:cs="宋体"/>
          <w:kern w:val="0"/>
          <w:sz w:val="36"/>
          <w:szCs w:val="36"/>
          <w:lang w:eastAsia="zh-CN"/>
        </w:rPr>
      </w:pPr>
    </w:p>
    <w:p w14:paraId="56964E3E">
      <w:pPr>
        <w:spacing w:line="700" w:lineRule="exact"/>
        <w:jc w:val="left"/>
        <w:rPr>
          <w:rFonts w:hint="eastAsia" w:hAnsi="宋体" w:eastAsia="仿宋_GB2312" w:cs="宋体"/>
          <w:kern w:val="0"/>
          <w:sz w:val="36"/>
          <w:szCs w:val="36"/>
          <w:lang w:eastAsia="zh-CN"/>
        </w:rPr>
      </w:pPr>
    </w:p>
    <w:p w14:paraId="301473FC">
      <w:pPr>
        <w:spacing w:line="700" w:lineRule="exact"/>
        <w:jc w:val="left"/>
        <w:rPr>
          <w:rFonts w:hint="eastAsia" w:hAnsi="宋体" w:eastAsia="仿宋_GB2312" w:cs="宋体"/>
          <w:kern w:val="0"/>
          <w:sz w:val="36"/>
          <w:szCs w:val="36"/>
          <w:lang w:eastAsia="zh-CN"/>
        </w:rPr>
      </w:pPr>
    </w:p>
    <w:p w14:paraId="79F7DFF5">
      <w:pPr>
        <w:spacing w:line="700" w:lineRule="exact"/>
        <w:jc w:val="left"/>
        <w:rPr>
          <w:rFonts w:hint="eastAsia" w:hAnsi="宋体" w:eastAsia="仿宋_GB2312" w:cs="宋体"/>
          <w:kern w:val="0"/>
          <w:sz w:val="36"/>
          <w:szCs w:val="36"/>
          <w:lang w:eastAsia="zh-CN"/>
        </w:rPr>
      </w:pPr>
    </w:p>
    <w:p w14:paraId="5CE800DD">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农村合作经济发展指导中心</w:t>
      </w:r>
    </w:p>
    <w:p w14:paraId="72D3F498">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57F8F173">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3881D34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2FA3D22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村合作经济发展指导中心主要职能：农村合作经济统计和农产品成本核算，农经统计是对国民经济和社会稳定情况进行调查、统计分析，提供统计资料，实行统计监督。农村集体经济组织的资产管理、财务管理、会计核算、审计监督、清产核资、村务公开等一系列巩固，发展壮大农村集体经济、保护农民合法权益，防止农村集体资产流失的农村资产管理工作。负责农牧民负担监督，进行减轻农牧民负担执法大检查和专项治理工作。会同有关部门审核涉及农民负担的文件，协助有关机关处理涉及农民负担的案件，维护农民的正当权益。负责农村土地承包的合同管理、调处农村土地承包纠纷、做好延长土地承包期后续完善工作、维护农民土地承包经营权益和土地承包经营权的合理流转，正确引导农牧民进行土地承包经营权的流转。加快农民专业合作社的健康、有序发展，示范引导，着力提高农民组织化程度，增强农产品市场竞争力，促进农民增收和农村经济文化又好又快发展，做好相关指导、扶持和服务工作，推动克孜勒苏柯尔克孜自治州新农村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村合作经济发展指导中心无下属预算单位，下设6个科室，分别是：办公室、农村资产管理财务审计科、农村经济统计科、农民负担监督科、农村土地承包管理科、农民专业合作社指导服务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克孜勒苏柯尔克孜自治州农村合作经济发展指导中心编制数22，实有人数24人，其中：在职17人，增加0人；退休7人，增加0人；离休0人，增加0人。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（1）农村土地承包管理工作开展情况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土地确权应确尽确延续工作：在国家任务以外克州阿图什市和乌恰县有5.01万亩的农村承包地未列入前期国家下达的确权登记颁证任务。其中：阿图什市农村土地承包经营权确权登记办证工作自治区下达任务面积1.874万亩已全部应确尽确，已全部完成1981户颁证任务。乌恰县3.14万亩延续任务的面积，2021年3月11日，经乌恰县农业农村局书面提请乌恰县十六届人民政府第三十四次常务会议研究，因乌恰县已完成所有确权任务，根据农村土地承包经营权颁证政策，决定对涉及的国有土地不予确权。</w:t>
      </w:r>
      <w:r>
        <w:rPr>
          <w:rFonts w:hint="eastAsia" w:ascii="仿宋_GB2312" w:hAnsi="宋体" w:eastAsia="仿宋_GB2312"/>
          <w:b w:val="0"/>
          <w:bCs/>
          <w:sz w:val="32"/>
          <w:szCs w:val="32"/>
        </w:rPr>
        <w:cr/>
      </w:r>
      <w:r>
        <w:rPr>
          <w:rFonts w:hint="eastAsia" w:ascii="仿宋_GB2312" w:hAnsi="宋体" w:eastAsia="仿宋_GB2312"/>
          <w:b w:val="0"/>
          <w:bCs/>
          <w:sz w:val="32"/>
          <w:szCs w:val="32"/>
        </w:rPr>
        <w:t>　　土地流转工作：</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我州农村承包耕地经营权流转总面积4.5万亩，流转率达8.3%，较2020年呈增长上升趋势；全州流转土地经营权农户总户数为9572户，占家庭承包经营农户数的12.8%。依据《自治区农村土地经营权流转管理办法（试行）》，加强工商资本流转土地资格审查和项目审查，严格准入门槛，流入方（包括联合经营主体）流转合计面积500亩以上由县级农业行政主管部门审查，500亩以下由乡级人民政府审查，将种植粮食作物纳入土地流转资格审查范围。逐步探索建立农村土地流转和产权交易平台建设，实现土地流转信息化管理，为流转双方提供法律政策咨询，流转信息、合同、签订、指导等服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农村集体机动地调查整理工作：全州各县（市）以本次农村承包地确权结果为基础，以第二次（第三次）全国土地调查、土地清理、耕地精准核查和农村集体资产清产核资等成果为依据，截至目前，已清查的县域集体耕地总面积78.47万亩，其中：村集体机动地总面积30.24，机动地摸底面积15.09万亩，四荒地摸底面积11.89万亩，已开发利用四荒地面积3.25万亩；未发包面积为12.49万亩；已发包面积17.75万亩，发包给本村农户的14.9万亩，发包给外村农户的1.19万亩，发包给家庭农场、农户专业合作社的0.23万亩，发包给工商企业的1.26万亩；已完成调查面积16.8万亩，正常发包面积17.42万亩，长期低价发包面积0.33万亩；整户消亡地0.002万亩，农田整治增加地0.23万亩，依法开垦地6.73万亩，其他依法收回地0.0015万亩；已上图入库面积4.36万亩，已建立档案面积4.36万亩。</w:t>
      </w:r>
      <w:r>
        <w:rPr>
          <w:rFonts w:hint="eastAsia" w:ascii="仿宋_GB2312" w:hAnsi="宋体" w:eastAsia="仿宋_GB2312"/>
          <w:b w:val="0"/>
          <w:bCs/>
          <w:sz w:val="32"/>
          <w:szCs w:val="32"/>
        </w:rPr>
        <w:cr/>
      </w:r>
      <w:r>
        <w:rPr>
          <w:rFonts w:hint="eastAsia" w:ascii="仿宋_GB2312" w:hAnsi="宋体" w:eastAsia="仿宋_GB2312"/>
          <w:b w:val="0"/>
          <w:bCs/>
          <w:sz w:val="32"/>
          <w:szCs w:val="32"/>
        </w:rPr>
        <w:t>　　妥善化解农村土地承包经营和经营权流转纠纷。发扬新时代“枫桥经验”，按照《农村土地承包经营纠纷调解仲裁法》规定，落实县级人民政府主体责任，保障县级农村土地承包仲裁委员会专用场所、设施、人员和经费。利用农村土地确权信息应用平台提升调解仲裁信息化水平。仲裁员由各县（市）农村土地承包仲裁委员会自行聘用，加强仲裁员队伍建设，强化业务培训，确保全州仲裁员每年在县级以上专题培训中轮训一遍。农村土地承包管理部门要建立与法院、司法行政机关等部门的沟通协调机制，建设便民高效调解仲裁体系。做好年度平安建设调解仲裁考评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（2）农村集体资产管理工作开展情况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农村集体产权制度改革试点工作：2018年8月份克州开始稳步推进农村集体产权制度改革试点工作，2020年5月在全州全面推开农村集体产权制度改革。目前，克州涉及改革试点的242个村集体按照清产核资、身份界定、股权量化和建立合作社的步骤，基本完成了242个村集体的农村集体产权制度改革试点工作，取得一定的成效，为下一步深化改革打下坚实的基础。</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，全州共确认农村集体组织成员112214户、472230人。全州量化资产总额20667.75万元，个人股量化17001.76万元，占总股本的82%，集体股量化金额3675.99万元，占总股本的18%。</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克州242个村集体全部完成集体经济组织赋码登记、全部发放农村集体经济组织登记证书、全部完成挂牌和刻制公章。全州已有242个村办理银行开户，完成率100%，242个村已发放股权证（112214本），完成率100%，各村股份经济合作社做到了有办公场地、规章制度上墙。</w:t>
      </w:r>
      <w:r>
        <w:rPr>
          <w:rFonts w:hint="eastAsia" w:ascii="仿宋_GB2312" w:hAnsi="宋体" w:eastAsia="仿宋_GB2312"/>
          <w:b w:val="0"/>
          <w:bCs/>
          <w:sz w:val="32"/>
          <w:szCs w:val="32"/>
        </w:rPr>
        <w:cr/>
      </w:r>
      <w:r>
        <w:rPr>
          <w:rFonts w:hint="eastAsia" w:ascii="仿宋_GB2312" w:hAnsi="宋体" w:eastAsia="仿宋_GB2312"/>
          <w:b w:val="0"/>
          <w:bCs/>
          <w:sz w:val="32"/>
          <w:szCs w:val="32"/>
        </w:rPr>
        <w:t>　　农村集体资产清产核资工作：①清产核资对象基本情况。克州清产核资对象覆盖39个乡（镇、场），243个村集体经济组织（村）。其中：阿图什市8个乡（镇），76个集体经济组织（村）。幸福路街道办事处1个村，上阿图什镇17个村，松他克乡11个村，阿扎克乡14个村，阿湖乡6个村，格达良乡8个村，哈拉峻乡12个村，吐古买提乡7个村；阿克陶县14个乡（镇、场）、110个村集体经济组织。其中：阿克陶镇9个村、玉麦乡12个村、皮拉勒乡19个村、巴仁乡15个村、加马铁热克乡6个村、喀热克其克乡4个村、奥依塔克镇4个村、布伦口乡5个村、木吉乡4个村、克孜勒陶乡13个村、恰尔隆乡5个村、塔尔乡8个村、托尔塔依农场1个村、阿克达拉牧场5个村。乌恰县9个乡（镇），34个集体经济组织（村）。乌鲁克恰提乡4个村，吾合沙鲁乡2个村，膘尔托阔依乡5个村，黑孜苇乡6个村，托云乡3个村，铁列克乡2个村，巴音库鲁提乡2个村，波斯坦铁列克乡6个村，吉根乡4个村；阿合奇县8个乡（镇）场，23个集体经济组织（村）。良种繁育场2个村，马场党工委3个村，阿合奇镇3个村，库兰萨日克乡3个村，色帕巴依乡3个村，苏木塔什乡3个村，哈拉奇乡3个村，哈拉布拉克乡3个村。②“三类”资产清查结果。本次农村集体资产年度清查，登记时点为2020年12月31日。全州243个集体经济组织清查出核实数109220.7121万元。其中：流动资产合计7776.4592万元；农业资产合计3262.2032万元；长期资产合计170.86万元；固定资产合计98011.1896万元；其他资产0万元。清查出经营性资产23101.0384万元；非经营性资产86119.6736万元。清查出集体土地总面积112.49万亩。其中：农用地96.99万亩，建设用地13.56万亩，未利用地1.95万亩。</w:t>
      </w:r>
      <w:r>
        <w:rPr>
          <w:rFonts w:hint="eastAsia" w:ascii="仿宋_GB2312" w:hAnsi="宋体" w:eastAsia="仿宋_GB2312"/>
          <w:b w:val="0"/>
          <w:bCs/>
          <w:sz w:val="32"/>
          <w:szCs w:val="32"/>
        </w:rPr>
        <w:cr/>
      </w:r>
      <w:r>
        <w:rPr>
          <w:rFonts w:hint="eastAsia" w:ascii="仿宋_GB2312" w:hAnsi="宋体" w:eastAsia="仿宋_GB2312"/>
          <w:b w:val="0"/>
          <w:bCs/>
          <w:sz w:val="32"/>
          <w:szCs w:val="32"/>
        </w:rPr>
        <w:t>　　（3）农民负担监测工作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督促三县一市开展认真贯彻落实中央、自治区农牧民负担各项政策措施及相关文件精神，监督落实中央、自治区农牧民负担全面取消农村义务工和“五统一”做法政策，从维护农村发展和稳定的大局出发，切实抓好各项减负政策的落实，坚持综合治理,标本兼治,强化监督管理,确保了农民负担不反弹、农民利益不受侵犯。</w:t>
      </w:r>
      <w:r>
        <w:rPr>
          <w:rFonts w:hint="eastAsia" w:ascii="仿宋_GB2312" w:hAnsi="宋体" w:eastAsia="仿宋_GB2312"/>
          <w:b w:val="0"/>
          <w:bCs/>
          <w:sz w:val="32"/>
          <w:szCs w:val="32"/>
        </w:rPr>
        <w:cr/>
      </w:r>
      <w:r>
        <w:rPr>
          <w:rFonts w:hint="eastAsia" w:ascii="仿宋_GB2312" w:hAnsi="宋体" w:eastAsia="仿宋_GB2312"/>
          <w:b w:val="0"/>
          <w:bCs/>
          <w:sz w:val="32"/>
          <w:szCs w:val="32"/>
        </w:rPr>
        <w:t>　　（4）农村新型经营主体建设开展情况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①合作社扶持资金管理情况。做好项目扶持资金指导和监督工作。①2021年社会化服务项目资金325.6万元、服务面积任务4.4万亩，按制定克州实施方案的要求，已完成率53%。②2021年新型农业经营主体提升技术应用和生产经营能力项目自治区级以上的示范社补助资金2家合作社40万元、扶持扶贫互助12家合作社72万元，按制定克州实施方案要求已完成100%、验收率100%、资金支付率16.1%。</w:t>
      </w:r>
      <w:r>
        <w:rPr>
          <w:rFonts w:hint="eastAsia" w:ascii="仿宋_GB2312" w:hAnsi="宋体" w:eastAsia="仿宋_GB2312"/>
          <w:b w:val="0"/>
          <w:bCs/>
          <w:sz w:val="32"/>
          <w:szCs w:val="32"/>
        </w:rPr>
        <w:cr/>
      </w:r>
      <w:r>
        <w:rPr>
          <w:rFonts w:hint="eastAsia" w:ascii="仿宋_GB2312" w:hAnsi="宋体" w:eastAsia="仿宋_GB2312"/>
          <w:b w:val="0"/>
          <w:bCs/>
          <w:sz w:val="32"/>
          <w:szCs w:val="32"/>
        </w:rPr>
        <w:t>　　②经营规模户录入、认定开展工作。按照自治区下发《关于做好2020年12月底全国家庭农场名录系统信息填报进度情况的通报》要求，1月底前认真完成录入数量不低于第三次农业普查农业规模经营户数量的1061家超完成1076家，完成率101.4%。</w:t>
      </w:r>
      <w:r>
        <w:rPr>
          <w:rFonts w:hint="eastAsia" w:ascii="仿宋_GB2312" w:hAnsi="宋体" w:eastAsia="仿宋_GB2312"/>
          <w:b w:val="0"/>
          <w:bCs/>
          <w:sz w:val="32"/>
          <w:szCs w:val="32"/>
        </w:rPr>
        <w:cr/>
      </w:r>
      <w:r>
        <w:rPr>
          <w:rFonts w:hint="eastAsia" w:ascii="仿宋_GB2312" w:hAnsi="宋体" w:eastAsia="仿宋_GB2312"/>
          <w:b w:val="0"/>
          <w:bCs/>
          <w:sz w:val="32"/>
          <w:szCs w:val="32"/>
        </w:rPr>
        <w:t>　　③防范打击和处置非法集资情况。结合我州实际，做好新形势下防范打击非法集资宣传教育工作，开展了专项排查活动，活动中，未发现非法集资现象。落实新农民专业合作社法学习宣传，先后分别2021年2月4日，3月4日、6月15日在人民广场开展坚决打击农民专业合作社非法集资宣传活动3次，发放宣传资料1550余份。</w:t>
      </w:r>
      <w:r>
        <w:rPr>
          <w:rFonts w:hint="eastAsia" w:ascii="仿宋_GB2312" w:hAnsi="宋体" w:eastAsia="仿宋_GB2312"/>
          <w:b w:val="0"/>
          <w:bCs/>
          <w:sz w:val="32"/>
          <w:szCs w:val="32"/>
        </w:rPr>
        <w:cr/>
      </w:r>
      <w:r>
        <w:rPr>
          <w:rFonts w:hint="eastAsia" w:ascii="仿宋_GB2312" w:hAnsi="宋体" w:eastAsia="仿宋_GB2312"/>
          <w:b w:val="0"/>
          <w:bCs/>
          <w:sz w:val="32"/>
          <w:szCs w:val="32"/>
        </w:rPr>
        <w:t>　　④做好“空壳社”清理整顿工作。结合州处非办《关于做好涉嫌非法集资风险常态化排查工作的通知》的工作要求，开展在三县一市“空壳社”清理整顿工作，第二季度清理已排查出52家、第三季度清理已排查出96家运行不良的合作社，已列入要清理注销的名单。</w:t>
      </w:r>
      <w:r>
        <w:rPr>
          <w:rFonts w:hint="eastAsia" w:ascii="仿宋_GB2312" w:hAnsi="宋体" w:eastAsia="仿宋_GB2312"/>
          <w:b w:val="0"/>
          <w:bCs/>
          <w:sz w:val="32"/>
          <w:szCs w:val="32"/>
        </w:rPr>
        <w:cr/>
      </w:r>
      <w:r>
        <w:rPr>
          <w:rFonts w:hint="eastAsia" w:ascii="仿宋_GB2312" w:hAnsi="宋体" w:eastAsia="仿宋_GB2312"/>
          <w:b w:val="0"/>
          <w:bCs/>
          <w:sz w:val="32"/>
          <w:szCs w:val="32"/>
        </w:rPr>
        <w:t>　　⑤新型农业主体培训工作。认真完成培训工作。在2021年4月20—4月28日，举办来自三县一市的新型农业经营主体农民专业合作社辅导人员分4期培训班，参加培训人员有100名左右。</w:t>
      </w:r>
      <w:r>
        <w:rPr>
          <w:rFonts w:hint="eastAsia" w:ascii="仿宋_GB2312" w:hAnsi="宋体" w:eastAsia="仿宋_GB2312"/>
          <w:b w:val="0"/>
          <w:bCs/>
          <w:sz w:val="32"/>
          <w:szCs w:val="32"/>
        </w:rPr>
        <w:cr/>
      </w:r>
      <w:r>
        <w:rPr>
          <w:rFonts w:hint="eastAsia" w:ascii="仿宋_GB2312" w:hAnsi="宋体" w:eastAsia="仿宋_GB2312"/>
          <w:b w:val="0"/>
          <w:bCs/>
          <w:sz w:val="32"/>
          <w:szCs w:val="32"/>
        </w:rPr>
        <w:t>　　⑥做好创建自治区级示范社申报工作。根据《关于开展第六批自治区农民专业合作社示范社创建工作的通知》（新农办经[2021]78号）的文件，严格按照《自治区农民专业合作社示范社创建标准》和申报要求，有序组织开展农民专业合作社示范社创建工作，克州已申报6个合作社。</w:t>
      </w:r>
      <w:r>
        <w:rPr>
          <w:rFonts w:hint="eastAsia" w:ascii="仿宋_GB2312" w:hAnsi="宋体" w:eastAsia="仿宋_GB2312"/>
          <w:b w:val="0"/>
          <w:bCs/>
          <w:sz w:val="32"/>
          <w:szCs w:val="32"/>
        </w:rPr>
        <w:cr/>
      </w:r>
      <w:r>
        <w:rPr>
          <w:rFonts w:hint="eastAsia" w:ascii="仿宋_GB2312" w:hAnsi="宋体" w:eastAsia="仿宋_GB2312"/>
          <w:b w:val="0"/>
          <w:bCs/>
          <w:sz w:val="32"/>
          <w:szCs w:val="32"/>
        </w:rPr>
        <w:t>　　（5）农村经济统计开展工作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2021年按照自治区和克州党委、政府要求，每季度按时完成农村收益分配季度表，认真完成上级部门下发的临时性统计工作。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据统计：2021年全州农村经济总收入预计达到665146.3万元、同比增加70015万元、增长11.8%;增长10.7%;农牧民人均纯收入预计达到11163元、同比上年同期元增加1089元、增长10.81%。①农村第一产业（农、林、牧）收入预计达到394663.7万元、同比增加43903.7万元、增长12.5%（占总收入的59.3%）；农牧民人均收入预计达到5180元、同比增加575元、增长12.5%。②农村第二产业（工业、建筑业）收入预计达到32835.8万元、同比增加2885.8万元、增长9.6%（占总收入的4.9%）；农牧民人均收入预计达到726元、同比增加56元、增长8.4%。③农村第三产业（交通运输、商饮业、服务业、其他）收入预计达到91602.7万元、同比增加11022.7万元、增长13.7%（占总收入的13.8%）；农牧民人均收入预计2026元、同比增加223元、增长12.4%。④2021年农村劳务经济外出收入预计达到146044.1万元、同比增加12203.1万元、增长9.1%（占总收入的22%）；农牧民人均收入预计达到3231元、同比增加236元、增长7.9%。</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农村合作经济发展指导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农村合作经济发展指导中心集体决策制度》和《克州农村合作经济发展指导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农村合作经济发展指导中心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农村合作经济发展指导中心合同管理办法》相关规定，克州农村合作经济发展指导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（6）　　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259.19万元，项目支出安排资金48.18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本单位2021年度项目支出48.18万元，涉及项目数量6个，其中：重点项目支出17万元，涉及重点项目数量1个，重点项目支出与部门项目总支出的比率为35.28%。</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2021年度本单位年初批复部门预算资金总额为258.35万元，年中调增预算总额为49.02万元，调整后全年预算资金总额为307.37万元。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2021年度本单位部门整体支出资金总额为307.37万元，预算执行率为100%，预算调整率为</w:t>
      </w:r>
      <w:r>
        <w:rPr>
          <w:rFonts w:hint="eastAsia" w:ascii="仿宋_GB2312" w:hAnsi="宋体" w:eastAsia="仿宋_GB2312"/>
          <w:b w:val="0"/>
          <w:bCs/>
          <w:sz w:val="32"/>
          <w:szCs w:val="32"/>
          <w:lang w:val="en-US" w:eastAsia="zh-CN"/>
        </w:rPr>
        <w:t>18.97</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年初政府采购预算数为11.69万元，实际政府采购数为40.09万元，政府采购执行率为100%。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23CA1C7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462279E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为加强我单位预算管理、规范财务行为我单位制定了《克州农村合作经济发展指导中心内部控制规范》《克州农村合作经济发展指导中心项目管理规范》等资金管理制度，已建立制度均健全且有效运行。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2021年度我单位基本支出预算总额为259.19万元，其中人员经费252.60万元，公用经费6.59万元。实际执行总额为259.19万元，预算执行率100%。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1.7万元，比上年增加0.93万元，增长120.78%，主要原因是：2020年末，上级部门调配给我单位车辆一辆，维修费、保险费增加，上年因为疫情原因，各项指导工作较少，2021年度对各县市业务指导工作较多，因此公务用车运行维护费增加。其中，因公出国（境）费支出0万元；公务用车购置及运行维护费支出1.7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与年初预算数相比情况：一般公共预算“三公”经费支出年初预算数1.70万元，预算执行数为1.7万元，执行率为100%，主要原因是：按照厉行节约的要求，2021年缩减公务车运行维护费，因此支出随之减少。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综上我单位2021年度三公经费控制较好，与上年相比存在增加，与年初预算相比，未超出年初预算。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2021年度本单位项目支出预算总额为48.18万元，实际执行资金总额为48.18万元，预算执行率为141.70%。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2021年度预算安排专项资金31.18万元，实际支出资金31.18万元，预算执行率为100%，涉及项目个数3个。专项经费按照政策要求实行专款专用，不存在截留、挤占、挪用、虚列支出。各项目详细执行情况如下：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现代农业经营体系建设项目经费项目:全年预算数为9.18万元，预算执行数为9.18万元，预算执行率为100%。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农业生产社会化服务经费项目:全年预算数为5万元，预算执行数为5万元，预算执行率为100%。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2021年度预算安排本级财力资金17万元，实际支出资金17万元，预算执行率为100%，涉及项目个数3个，各项目详细执行情况如下：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农村土地仲裁确权工作经费项目:全年预算数为5万元，预算执行数为5万元，预算执行率为100%。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农村集体产权制度改革工作经费项目:全年预算数为5万元，预算执行数为5万元，预算执行率为100%。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群众工作经费项目:全年预算数为7万元，预算执行数为7万元，预算执行率为100%。</w:t>
      </w:r>
    </w:p>
    <w:p w14:paraId="2417D08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0983FA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现代农业经营体系建设项目经费项目:《关于下达2020年自治区农业类资金（项目部分）的通知》克财农〔2020〕4号。《关于下达2020年自治区农业类资金（项目部分）的通知》（新财农〔2019〕120号）。</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农业生产社会化服务经费项目:依据《关于提前下达2021年自治区农业生产发展资金（项目部分）预算的通知》（新财农〔2020〕117号文件），《关于提前下达2021年自治区农业生产发展资金（项目部分）预算的通知》（克财农〔2020〕49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31.18万元，资金全部到位，实际使用资金31.18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①制订《克州农村合作经济发展指导中心经费使用规范》,为合理合规使用经费提供了有力的制度保障。同时,建立区委组织部项目经费内部管控制度，并严格按要求落实。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现代农业经营体系建设项目经费项目:主要用于完成好农民合作社、家庭农场、农业生产社会化服务等新型农业经营主体培训、督导检查、项目审计等指导服务工作,有利于促进新型农业经营主体人才培育和规范化建设扎实开展，拓宽致富思路，增加农民收入</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主要用于着力解决农民反映的热点、难点问题，开展各项文体活动、职业技能培训、节日慰问等，保障第一书记开展各项工作，有利于营造安定和谐稳定的社会局面，确保各项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农业生产社会化服务经费项目:主要用于农民合作社、家庭农场和社会化服务组织等新型农业经营主体开展培训、项目督导检查、聘请第三方机构开展项目审计、开展相关业务指导的经费支出，有利于更好更快的发展新型农业经营主体，增加农民可支配收入。</w:t>
      </w:r>
    </w:p>
    <w:p w14:paraId="69D26C7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42089A4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本单位2021年初资产合计数为47.77万元，年末资产合计数为52.74万元。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截止本年度固定资产账面净值15.46万元，年末实际在用固定资产15.46万元，固定资产利用率为100%。</w:t>
      </w:r>
    </w:p>
    <w:p w14:paraId="73AD39D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2F35E4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部门单位整体支出共设置一级指标3个，二级指标7个，三级指标17个，其中已完成三级指标17个，指标完成率为100%。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“保障人员人数(人）”指标：预期指标值为&gt;=24人，实际完成指标值为24人，指标完成率为100%。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“采购办公设备（次)”指标：预期指标值为&gt;=3次，实际完成指标值为3人，指标完成率为100%。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“开展业务指导次数（次）”指标：预期指标值为&gt;=10次，实际完成指标值为10次，指标完成率为100%。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“购置办公用品批次（次）”指标：预期指标值为&gt;=4次，实际完成指标值为4次人，指标完成率为100%。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“节日期间慰问、座谈（次）”指标：预期指标值为&gt;=2次，实际完成指标值为2次，指标完成率为100%。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“农村经济统计次数（次）”指标：预期指标值为&gt;=4次，实际完成指标值为4次，指标完成率为100%。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土地流转（万亩）”指标：预期指标值为=2万亩，实际完成指标值为4.5万亩，指标完成率为225%。偏差原因：基层干部大力开展宣传，农民群众解放思想，积极配合土地流转工作，所以导致与预期目标值产生一定的偏差。改进措施:做好计划，精准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“为民办实事好事（次）”指标：预期指标值为&gt;=6次，实际完成指标值为6人，指标完成率为100%。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“人员工资发放及时率（%）”指标：预期指标值为=100%，实际完成指标值为100%，指标完成率为100%。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“职工取暖费，独生子女费，绩效工资发放及时率（%）”指标：预期指标值为=100%，实际完成指标值为100%，指标完成率为100%。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“人员经费（万元）”指标：预期指标值为=217.18万元，实际完成指标值为217.18万元，指标完成率为100%。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“公用经费（万元）”指标：预期指标值为=7.17万元，实际完成指标值为6.58，指标完成率为91.77%。偏差原因：残疾人保障金从公用经费中支出，年底决算统计在人员经费中。改进措施：做好计划，精准实施。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“项目支出（万元）”指标：预期指标值为=34万元，实际完成指标值为34万元，指标完成率为100%。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“提升工作服务水平”指标：预期指标值为有效提升，实际完成指标值为有效提升，指标完成率为100%。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p>
    <w:p w14:paraId="0CF0243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7667344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32C68EF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04202AD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78D5F37"/>
    <w:rsid w:val="3E4D4996"/>
    <w:rsid w:val="51C70EA9"/>
    <w:rsid w:val="54F842B6"/>
    <w:rsid w:val="56C9078E"/>
    <w:rsid w:val="5CB652DD"/>
    <w:rsid w:val="656071F2"/>
    <w:rsid w:val="6BF1756B"/>
    <w:rsid w:val="6F5E1AA3"/>
    <w:rsid w:val="7BCE3DDE"/>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13463</Words>
  <Characters>14416</Characters>
  <Lines>2</Lines>
  <Paragraphs>1</Paragraphs>
  <TotalTime>28</TotalTime>
  <ScaleCrop>false</ScaleCrop>
  <LinksUpToDate>false</LinksUpToDate>
  <CharactersWithSpaces>14756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2025-07-31T03:09:06Z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